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B" w:rsidRDefault="00701E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01EBB" w:rsidRDefault="00701EBB">
      <w:pPr>
        <w:pStyle w:val="ConsPlusNormal"/>
        <w:jc w:val="both"/>
        <w:outlineLvl w:val="0"/>
      </w:pPr>
    </w:p>
    <w:p w:rsidR="00701EBB" w:rsidRDefault="00701EBB">
      <w:pPr>
        <w:pStyle w:val="ConsPlusTitle"/>
        <w:jc w:val="center"/>
      </w:pPr>
      <w:r>
        <w:t>ФЕДЕРАЛЬНАЯ АНТИМОНОПОЛЬНАЯ СЛУЖБА</w:t>
      </w:r>
    </w:p>
    <w:p w:rsidR="00701EBB" w:rsidRDefault="00701EBB">
      <w:pPr>
        <w:pStyle w:val="ConsPlusTitle"/>
        <w:jc w:val="center"/>
      </w:pPr>
    </w:p>
    <w:p w:rsidR="00701EBB" w:rsidRDefault="00701EBB">
      <w:pPr>
        <w:pStyle w:val="ConsPlusTitle"/>
        <w:jc w:val="center"/>
      </w:pPr>
      <w:r>
        <w:t>ПИСЬМО</w:t>
      </w:r>
    </w:p>
    <w:p w:rsidR="00701EBB" w:rsidRDefault="00701EBB">
      <w:pPr>
        <w:pStyle w:val="ConsPlusTitle"/>
        <w:jc w:val="center"/>
      </w:pPr>
      <w:r>
        <w:t>от 31 января 2025 г. N ГР/7996/25</w:t>
      </w:r>
    </w:p>
    <w:p w:rsidR="00701EBB" w:rsidRDefault="00701EBB">
      <w:pPr>
        <w:pStyle w:val="ConsPlusTitle"/>
        <w:jc w:val="center"/>
      </w:pPr>
    </w:p>
    <w:p w:rsidR="00701EBB" w:rsidRDefault="00701EBB">
      <w:pPr>
        <w:pStyle w:val="ConsPlusTitle"/>
        <w:jc w:val="center"/>
      </w:pPr>
      <w:r>
        <w:t>О РАССМОТРЕНИИ ОБРАЩЕНИЯ</w:t>
      </w:r>
    </w:p>
    <w:p w:rsidR="00701EBB" w:rsidRDefault="00701EBB">
      <w:pPr>
        <w:pStyle w:val="ConsPlusNormal"/>
        <w:ind w:firstLine="540"/>
        <w:jc w:val="both"/>
      </w:pPr>
    </w:p>
    <w:p w:rsidR="00701EBB" w:rsidRDefault="00701EB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наделена полномочиями по официальному разъяснению и толкованию норм законодательства Российской Федерации о контрактной системе в сфере закупок.</w:t>
      </w:r>
      <w:proofErr w:type="gramEnd"/>
      <w:r>
        <w:t xml:space="preserve"> Вместе с тем ФАС России полагает возможным сообщить следующее.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По вопросу N 1 обращения ФАС России отмечает, что согласно </w:t>
      </w:r>
      <w:hyperlink r:id="rId7">
        <w:r>
          <w:rPr>
            <w:color w:val="0000FF"/>
          </w:rPr>
          <w:t>абзацу 2 пункта 1 статьи 432</w:t>
        </w:r>
      </w:hyperlink>
      <w:r>
        <w:t xml:space="preserve"> Гражданского кодекса Российской Федерации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701EBB" w:rsidRDefault="00701EBB">
      <w:pPr>
        <w:pStyle w:val="ConsPlusNormal"/>
        <w:spacing w:before="220"/>
        <w:ind w:firstLine="540"/>
        <w:jc w:val="both"/>
      </w:pPr>
      <w:r>
        <w:t xml:space="preserve">Положениями </w:t>
      </w:r>
      <w:hyperlink r:id="rId8">
        <w:r>
          <w:rPr>
            <w:color w:val="0000FF"/>
          </w:rPr>
          <w:t>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регламентированы порядок и случаи изменения существенных условий контракта.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Так, в случае, если заказчику необходимо изменить существенные условия контракта, в том числе изменить товарный знак поставляемого товара, то в соответствии с положениями </w:t>
      </w:r>
      <w:hyperlink r:id="rId9">
        <w:r>
          <w:rPr>
            <w:color w:val="0000FF"/>
          </w:rPr>
          <w:t>части 7 статьи 95</w:t>
        </w:r>
      </w:hyperlink>
      <w:r>
        <w:t xml:space="preserve"> Закона о контрактной системе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</w:t>
      </w:r>
      <w:proofErr w:type="gramEnd"/>
      <w:r>
        <w:t xml:space="preserve"> и соответствующими техническими и функциональными характеристиками, указанными в контракте.</w:t>
      </w:r>
    </w:p>
    <w:p w:rsidR="00701EBB" w:rsidRDefault="00701EBB">
      <w:pPr>
        <w:pStyle w:val="ConsPlusNormal"/>
        <w:spacing w:before="220"/>
        <w:ind w:firstLine="540"/>
        <w:jc w:val="both"/>
      </w:pPr>
      <w:r>
        <w:t xml:space="preserve">На основании вышеизложенного ФАС России сообщает, что </w:t>
      </w:r>
      <w:proofErr w:type="gramStart"/>
      <w:r>
        <w:t xml:space="preserve">исходя из системного толкования положений Гражданского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11">
        <w:r>
          <w:rPr>
            <w:color w:val="0000FF"/>
          </w:rPr>
          <w:t>Закона</w:t>
        </w:r>
      </w:hyperlink>
      <w:r>
        <w:t xml:space="preserve"> о контрактной системе товарный знак является</w:t>
      </w:r>
      <w:proofErr w:type="gramEnd"/>
      <w:r>
        <w:t xml:space="preserve"> существенным условием контракта.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По вопросам N N 2 - 8 обращения ФАС России сообщает, что положениями </w:t>
      </w:r>
      <w:hyperlink r:id="rId12">
        <w:r>
          <w:rPr>
            <w:color w:val="0000FF"/>
          </w:rPr>
          <w:t>подпункта "а" пункта 2 части 1 статьи 43</w:t>
        </w:r>
      </w:hyperlink>
      <w:r>
        <w:t xml:space="preserve"> Закона о контрактной системе не регламентирована необходимость участника закупки указывать в заявке на участие в закупке непосредственно наименование товарного знака, в то время как свидетельство на товарный знак (знак обслуживания), </w:t>
      </w:r>
      <w:hyperlink r:id="rId13">
        <w:r>
          <w:rPr>
            <w:color w:val="0000FF"/>
          </w:rPr>
          <w:t>форма</w:t>
        </w:r>
      </w:hyperlink>
      <w:r>
        <w:t xml:space="preserve"> которого утверждена приказом Минэкономразвития России от 20.07.2015 N 482</w:t>
      </w:r>
      <w:proofErr w:type="gramEnd"/>
      <w:r>
        <w:t>, не содержит поля "наименование товарного знака" как такового.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>На основании вышеизложенного ФАС России сообщает, что указание участником закупки в заявке на участие в закупке сведений, позволяющих идентифицировать наличие или отсутствие товарного знака (указание регистрационного номера свидетельства, заполнение соответствующей графы посредством указания слов "отсутствует", "нет", иных способов), не противоречит положениям законодательства Российской Федерации о контрактной системе в сфере закупок и не является основанием для отклонения заявки такого участника.</w:t>
      </w:r>
      <w:proofErr w:type="gramEnd"/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согласно </w:t>
      </w:r>
      <w:hyperlink r:id="rId14">
        <w:r>
          <w:rPr>
            <w:color w:val="0000FF"/>
          </w:rPr>
          <w:t>пункту 1 части 12 статьи 48</w:t>
        </w:r>
      </w:hyperlink>
      <w:r>
        <w:t xml:space="preserve"> Закона о контрактной системе при рассмотрении вторых частей заявок на участие в закупке </w:t>
      </w:r>
      <w:r>
        <w:lastRenderedPageBreak/>
        <w:t xml:space="preserve">соответствующая заявка подлежит отклонению в случае непредставления (за исключением случаев, предусмотренных </w:t>
      </w:r>
      <w:hyperlink r:id="rId15">
        <w:r>
          <w:rPr>
            <w:color w:val="0000FF"/>
          </w:rPr>
          <w:t>Законом</w:t>
        </w:r>
      </w:hyperlink>
      <w:r>
        <w:t xml:space="preserve"> о контрактной системе) в заявке на участие в закупке информации и документов, предусмотренных извещением об осуществлении закупки в соответствии с </w:t>
      </w:r>
      <w:hyperlink r:id="rId16">
        <w:r>
          <w:rPr>
            <w:color w:val="0000FF"/>
          </w:rPr>
          <w:t>Законом</w:t>
        </w:r>
        <w:proofErr w:type="gramEnd"/>
      </w:hyperlink>
      <w:r>
        <w:t xml:space="preserve"> </w:t>
      </w:r>
      <w:proofErr w:type="gramStart"/>
      <w:r>
        <w:t xml:space="preserve">о контрактной системе (за исключением информации и документов, предусмотренных </w:t>
      </w:r>
      <w:hyperlink r:id="rId17">
        <w:r>
          <w:rPr>
            <w:color w:val="0000FF"/>
          </w:rPr>
          <w:t>пунктами 2</w:t>
        </w:r>
      </w:hyperlink>
      <w:r>
        <w:t xml:space="preserve"> и </w:t>
      </w:r>
      <w:hyperlink r:id="rId18">
        <w:r>
          <w:rPr>
            <w:color w:val="0000FF"/>
          </w:rPr>
          <w:t>3 части 6 статьи 43</w:t>
        </w:r>
      </w:hyperlink>
      <w:r>
        <w:t xml:space="preserve"> Закона о контрактной системе), несоответствия таких информации и документов требованиям, установленным в извещении об осуществлении закупки.</w:t>
      </w:r>
      <w:proofErr w:type="gramEnd"/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комиссии по осуществлению закупок необходимо проверять представление участником закупки информации и документов, предусмотренных </w:t>
      </w:r>
      <w:hyperlink r:id="rId19">
        <w:r>
          <w:rPr>
            <w:color w:val="0000FF"/>
          </w:rPr>
          <w:t>пунктом 2 части 1 статьи 43</w:t>
        </w:r>
      </w:hyperlink>
      <w:r>
        <w:t xml:space="preserve"> Закона о контрактной системе, а в случае отсутствия в составе заявки сведений о товарном знаке, при наличии у комиссии по осуществлению закупок сведений о товарном знаке товара, принимать решение об отклонении такой заявки.</w:t>
      </w:r>
      <w:proofErr w:type="gramEnd"/>
    </w:p>
    <w:p w:rsidR="00701EBB" w:rsidRDefault="00701EBB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внимание, что положения </w:t>
      </w:r>
      <w:hyperlink r:id="rId20">
        <w:r>
          <w:rPr>
            <w:color w:val="0000FF"/>
          </w:rPr>
          <w:t>Закона</w:t>
        </w:r>
      </w:hyperlink>
      <w:r>
        <w:t xml:space="preserve"> о контрактной системе не ограничивают комиссию по осуществлению закупок в проверке достоверности представленных документов, информации, сведений в составе заявки участника закупки путем принятия заказчиком зависящих от него разумных и законных мер.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>Учитывая изложенное, в целях соблюдения, в том числе принципа ответственности за результативность обеспечения государственных и муниципальных нужд, эффективности осуществления закупок, комиссии по осуществлению закупок необходимо принимать зависящие от нее разумные и законные меры по установлению наличия или отсутствия товарного знака у товара, предлагаемого к поставке, а также достоверности и актуальности представляемых сведений на основании информации, представленной участником закупки в составе</w:t>
      </w:r>
      <w:proofErr w:type="gramEnd"/>
      <w:r>
        <w:t xml:space="preserve"> заявки.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По вопросам N N 9 - 12 обращения ФАС России отмечает, что в соответствии с </w:t>
      </w:r>
      <w:hyperlink r:id="rId21">
        <w:r>
          <w:rPr>
            <w:color w:val="0000FF"/>
          </w:rPr>
          <w:t>пунктом 5 части 8 статьи 99</w:t>
        </w:r>
      </w:hyperlink>
      <w:r>
        <w:t xml:space="preserve"> Закона о контрактной системе органы внутреннего государственного (муниципального) финансового контроля осуществляют контроль в отношении соблюдения предусмотренных </w:t>
      </w:r>
      <w:hyperlink r:id="rId22">
        <w:r>
          <w:rPr>
            <w:color w:val="0000FF"/>
          </w:rPr>
          <w:t>Законом</w:t>
        </w:r>
      </w:hyperlink>
      <w:r>
        <w:t xml:space="preserve">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</w:t>
      </w:r>
      <w:proofErr w:type="gramEnd"/>
      <w:r>
        <w:t xml:space="preserve"> (ее результата) или оказанной услуги условиям контракта.</w:t>
      </w:r>
    </w:p>
    <w:p w:rsidR="00701EBB" w:rsidRDefault="00701EB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3">
        <w:r>
          <w:rPr>
            <w:color w:val="0000FF"/>
          </w:rPr>
          <w:t>пункту 3 статьи 265</w:t>
        </w:r>
      </w:hyperlink>
      <w:r>
        <w:t xml:space="preserve"> Бюджетного кодекса Российской Федерации внутренний государственный (муниципальный) финансовый контроль является контрольной деятельностью Федерального казначейства,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администраций).</w:t>
      </w:r>
    </w:p>
    <w:p w:rsidR="00701EBB" w:rsidRDefault="00701EBB">
      <w:pPr>
        <w:pStyle w:val="ConsPlusNormal"/>
        <w:spacing w:before="220"/>
        <w:ind w:firstLine="540"/>
        <w:jc w:val="both"/>
      </w:pPr>
      <w:r>
        <w:t>Таким образом, по вопросам N N 9 - 12 обращения целесообразно обратиться в Федеральное казначейство.</w:t>
      </w:r>
    </w:p>
    <w:p w:rsidR="00701EBB" w:rsidRDefault="00701EBB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ФАС России обращает внимание, что вопрос наличия или отсутствия нарушений законодательства Российской Федерации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24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</w:t>
      </w:r>
      <w:proofErr w:type="gramEnd"/>
      <w:r>
        <w:t xml:space="preserve"> муниципальных нужд, публичных интересов и других факторов, в том числе специфики конкретной закупки и заявок участников закупки.</w:t>
      </w:r>
    </w:p>
    <w:p w:rsidR="00701EBB" w:rsidRDefault="00701EBB">
      <w:pPr>
        <w:pStyle w:val="ConsPlusNormal"/>
        <w:ind w:firstLine="540"/>
        <w:jc w:val="both"/>
      </w:pPr>
    </w:p>
    <w:p w:rsidR="00701EBB" w:rsidRDefault="00701EBB">
      <w:pPr>
        <w:pStyle w:val="ConsPlusNormal"/>
        <w:jc w:val="right"/>
      </w:pPr>
      <w:r>
        <w:t>Г.Г.РАДИОНОВ</w:t>
      </w:r>
    </w:p>
    <w:p w:rsidR="00701EBB" w:rsidRDefault="00701EBB">
      <w:pPr>
        <w:pStyle w:val="ConsPlusNormal"/>
        <w:jc w:val="both"/>
      </w:pPr>
    </w:p>
    <w:p w:rsidR="00701EBB" w:rsidRDefault="00701EBB">
      <w:pPr>
        <w:pStyle w:val="ConsPlusNormal"/>
        <w:jc w:val="both"/>
      </w:pPr>
    </w:p>
    <w:p w:rsidR="00701EBB" w:rsidRDefault="00701E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D2D" w:rsidRDefault="00A41D2D">
      <w:bookmarkStart w:id="0" w:name="_GoBack"/>
      <w:bookmarkEnd w:id="0"/>
    </w:p>
    <w:sectPr w:rsidR="00A41D2D" w:rsidSect="0013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B"/>
    <w:rsid w:val="00701EBB"/>
    <w:rsid w:val="00A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1309" TargetMode="External"/><Relationship Id="rId13" Type="http://schemas.openxmlformats.org/officeDocument/2006/relationships/hyperlink" Target="https://login.consultant.ru/link/?req=doc&amp;base=LAW&amp;n=486998&amp;dst=101220" TargetMode="External"/><Relationship Id="rId18" Type="http://schemas.openxmlformats.org/officeDocument/2006/relationships/hyperlink" Target="https://login.consultant.ru/link/?req=doc&amp;base=LAW&amp;n=483361&amp;dst=23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361&amp;dst=1449" TargetMode="External"/><Relationship Id="rId7" Type="http://schemas.openxmlformats.org/officeDocument/2006/relationships/hyperlink" Target="https://login.consultant.ru/link/?req=doc&amp;base=LAW&amp;n=482692&amp;dst=102050" TargetMode="External"/><Relationship Id="rId12" Type="http://schemas.openxmlformats.org/officeDocument/2006/relationships/hyperlink" Target="https://login.consultant.ru/link/?req=doc&amp;base=LAW&amp;n=483361&amp;dst=2343" TargetMode="External"/><Relationship Id="rId17" Type="http://schemas.openxmlformats.org/officeDocument/2006/relationships/hyperlink" Target="https://login.consultant.ru/link/?req=doc&amp;base=LAW&amp;n=483361&amp;dst=235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" TargetMode="External"/><Relationship Id="rId20" Type="http://schemas.openxmlformats.org/officeDocument/2006/relationships/hyperlink" Target="https://login.consultant.ru/link/?req=doc&amp;base=LAW&amp;n=483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&amp;dst=100028" TargetMode="External"/><Relationship Id="rId11" Type="http://schemas.openxmlformats.org/officeDocument/2006/relationships/hyperlink" Target="https://login.consultant.ru/link/?req=doc&amp;base=LAW&amp;n=483361" TargetMode="External"/><Relationship Id="rId24" Type="http://schemas.openxmlformats.org/officeDocument/2006/relationships/hyperlink" Target="https://login.consultant.ru/link/?req=doc&amp;base=LAW&amp;n=4833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" TargetMode="External"/><Relationship Id="rId23" Type="http://schemas.openxmlformats.org/officeDocument/2006/relationships/hyperlink" Target="https://login.consultant.ru/link/?req=doc&amp;base=LAW&amp;n=503620&amp;dst=7454" TargetMode="Externa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hyperlink" Target="https://login.consultant.ru/link/?req=doc&amp;base=LAW&amp;n=483361&amp;dst=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423" TargetMode="External"/><Relationship Id="rId14" Type="http://schemas.openxmlformats.org/officeDocument/2006/relationships/hyperlink" Target="https://login.consultant.ru/link/?req=doc&amp;base=LAW&amp;n=483361&amp;dst=12062" TargetMode="External"/><Relationship Id="rId22" Type="http://schemas.openxmlformats.org/officeDocument/2006/relationships/hyperlink" Target="https://login.consultant.ru/link/?req=doc&amp;base=LAW&amp;n=48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2025-06-03T08:44:00Z</dcterms:created>
  <dcterms:modified xsi:type="dcterms:W3CDTF">2025-06-03T08:45:00Z</dcterms:modified>
</cp:coreProperties>
</file>